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F394E93" w:rsidR="005A7127" w:rsidRPr="00FC3F8A" w:rsidRDefault="00E5686B" w:rsidP="00E5686B">
      <w:hyperlink r:id="rId6" w:history="1">
        <w:r w:rsidRPr="00C8381C">
          <w:rPr>
            <w:rStyle w:val="Collegamentoipertestuale"/>
          </w:rPr>
          <w:t>https://it.marketscreener.com/quotazioni/azione/BANCO-BPM-S-P-A-32657182/attualita/Banco-Bpm-Tononi-con-Unicredit-nessun-presupposto-per-dialogo-49071246/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5F68EB"/>
    <w:rsid w:val="00602348"/>
    <w:rsid w:val="00606187"/>
    <w:rsid w:val="00613AA9"/>
    <w:rsid w:val="006165A3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it.marketscreener.com/quotazioni/azione/BANCO-BPM-S-P-A-32657182/attualita/Banco-Bpm-Tononi-con-Unicredit-nessun-presupposto-per-dialogo-4907124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2025-02-24T11:11:00Z</dcterms:created>
  <dcterms:modified xsi:type="dcterms:W3CDTF">2025-02-24T11:12:00Z</dcterms:modified>
</cp:coreProperties>
</file>